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EC62" w14:textId="77777777" w:rsidR="006423E1" w:rsidRPr="00586E5F" w:rsidRDefault="006423E1" w:rsidP="00E11BED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68BB22C8" w14:textId="4912DD25" w:rsidR="003037DB" w:rsidRPr="00586E5F" w:rsidRDefault="003037DB" w:rsidP="003037DB">
      <w:pPr>
        <w:pStyle w:val="Pa2"/>
        <w:jc w:val="both"/>
        <w:rPr>
          <w:rFonts w:ascii="Calibri" w:hAnsi="Calibri" w:cstheme="minorHAnsi"/>
          <w:sz w:val="26"/>
          <w:szCs w:val="26"/>
        </w:rPr>
      </w:pPr>
      <w:r w:rsidRPr="00586E5F">
        <w:rPr>
          <w:rStyle w:val="A7"/>
          <w:rFonts w:ascii="Calibri" w:hAnsi="Calibri" w:cstheme="minorHAnsi"/>
          <w:color w:val="auto"/>
        </w:rPr>
        <w:t xml:space="preserve">Vedranno i posteri che bijou! </w:t>
      </w:r>
    </w:p>
    <w:p w14:paraId="63E3D293" w14:textId="77777777" w:rsidR="00C04D71" w:rsidRPr="00586E5F" w:rsidRDefault="00C04D71" w:rsidP="003037DB">
      <w:pPr>
        <w:pStyle w:val="Pa2"/>
        <w:jc w:val="both"/>
        <w:rPr>
          <w:rFonts w:ascii="Calibri" w:hAnsi="Calibri" w:cstheme="minorHAnsi"/>
          <w:b/>
          <w:bCs/>
          <w:color w:val="595959" w:themeColor="text1" w:themeTint="A6"/>
        </w:rPr>
      </w:pPr>
    </w:p>
    <w:p w14:paraId="6E323722" w14:textId="7B82CC48" w:rsidR="003037DB" w:rsidRPr="00586E5F" w:rsidRDefault="003037DB" w:rsidP="003037DB">
      <w:pPr>
        <w:pStyle w:val="Pa2"/>
        <w:jc w:val="both"/>
        <w:rPr>
          <w:rFonts w:ascii="Calibri" w:hAnsi="Calibri" w:cstheme="minorHAnsi"/>
          <w:b/>
          <w:bCs/>
          <w:color w:val="595959" w:themeColor="text1" w:themeTint="A6"/>
        </w:rPr>
      </w:pPr>
      <w:r w:rsidRPr="00586E5F">
        <w:rPr>
          <w:rFonts w:ascii="Calibri" w:hAnsi="Calibri" w:cstheme="minorHAnsi"/>
          <w:b/>
          <w:bCs/>
          <w:color w:val="595959" w:themeColor="text1" w:themeTint="A6"/>
        </w:rPr>
        <w:t xml:space="preserve">VALERIO GALLI </w:t>
      </w:r>
    </w:p>
    <w:p w14:paraId="335ED116" w14:textId="77777777" w:rsidR="003037DB" w:rsidRPr="00586E5F" w:rsidRDefault="003037DB" w:rsidP="003037DB">
      <w:pPr>
        <w:pStyle w:val="Pa1"/>
        <w:rPr>
          <w:rFonts w:ascii="Calibri" w:hAnsi="Calibri" w:cstheme="minorHAnsi"/>
        </w:rPr>
      </w:pPr>
    </w:p>
    <w:p w14:paraId="3B670871" w14:textId="77777777" w:rsidR="003037DB" w:rsidRPr="00586E5F" w:rsidRDefault="003037DB" w:rsidP="003037DB">
      <w:pPr>
        <w:pStyle w:val="Default"/>
        <w:rPr>
          <w:rFonts w:ascii="Calibri" w:hAnsi="Calibri" w:cstheme="minorHAnsi"/>
        </w:rPr>
      </w:pPr>
    </w:p>
    <w:p w14:paraId="177A0372" w14:textId="065E6CF3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“Vedranno i posteri che bijou!”. </w:t>
      </w:r>
    </w:p>
    <w:p w14:paraId="3EE2FC10" w14:textId="5059A55C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Così scriveva Puccini, nel 1920, a Riccardo </w:t>
      </w:r>
      <w:proofErr w:type="spellStart"/>
      <w:r w:rsidRPr="00586E5F">
        <w:rPr>
          <w:rFonts w:ascii="Calibri" w:hAnsi="Calibri" w:cstheme="minorHAnsi"/>
        </w:rPr>
        <w:t>Schnabl</w:t>
      </w:r>
      <w:proofErr w:type="spellEnd"/>
      <w:r w:rsidRPr="00586E5F">
        <w:rPr>
          <w:rFonts w:ascii="Calibri" w:hAnsi="Calibri" w:cstheme="minorHAnsi"/>
        </w:rPr>
        <w:t xml:space="preserve">, dopo tre anni e tre versioni dalla prima rappresentazione di </w:t>
      </w:r>
      <w:r w:rsidRPr="00586E5F">
        <w:rPr>
          <w:rFonts w:ascii="Calibri" w:hAnsi="Calibri" w:cstheme="minorHAnsi"/>
          <w:i/>
          <w:iCs/>
        </w:rPr>
        <w:t>Rondine</w:t>
      </w:r>
      <w:r w:rsidRPr="00586E5F">
        <w:rPr>
          <w:rFonts w:ascii="Calibri" w:hAnsi="Calibri" w:cstheme="minorHAnsi"/>
        </w:rPr>
        <w:t xml:space="preserve">, evidenziando il cruccio per le sorti della sua sfortunata nuova creatura. Il 4 agosto del 1924, quattro mesi prima di morire e sette anni dopo la prima dell’opera, scriveva infatti a Gilda Dalla Rizza, prima interprete di Magda: “Povera Rondine mia! Quale ingiusto oblio!”. </w:t>
      </w:r>
    </w:p>
    <w:p w14:paraId="24ECCEE0" w14:textId="39B80356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Nella frase indirizzata a </w:t>
      </w:r>
      <w:proofErr w:type="spellStart"/>
      <w:r w:rsidRPr="00586E5F">
        <w:rPr>
          <w:rFonts w:ascii="Calibri" w:hAnsi="Calibri" w:cstheme="minorHAnsi"/>
        </w:rPr>
        <w:t>Schnabl</w:t>
      </w:r>
      <w:proofErr w:type="spellEnd"/>
      <w:r w:rsidRPr="00586E5F">
        <w:rPr>
          <w:rFonts w:ascii="Calibri" w:hAnsi="Calibri" w:cstheme="minorHAnsi"/>
        </w:rPr>
        <w:t xml:space="preserve"> v’è però una certezza che suona quasi profetica, come se Puccini, armato del suo ben noto intuito teatrale, avesse già capito che quest’opera sarebbe stata compresa, e rappresentata con maggiore frequenza, solo molto più avanti. </w:t>
      </w:r>
    </w:p>
    <w:p w14:paraId="2BC931C8" w14:textId="7EFF32FE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Delle tre versioni esistenti di </w:t>
      </w:r>
      <w:r w:rsidRPr="00586E5F">
        <w:rPr>
          <w:rFonts w:ascii="Calibri" w:hAnsi="Calibri" w:cstheme="minorHAnsi"/>
          <w:i/>
          <w:iCs/>
        </w:rPr>
        <w:t>Rondine</w:t>
      </w:r>
      <w:r w:rsidRPr="00586E5F">
        <w:rPr>
          <w:rFonts w:ascii="Calibri" w:hAnsi="Calibri" w:cstheme="minorHAnsi"/>
        </w:rPr>
        <w:t>, quella che proponiamo in questa nuova produzione con la regia di Paul-</w:t>
      </w:r>
      <w:proofErr w:type="spellStart"/>
      <w:r w:rsidRPr="00586E5F">
        <w:rPr>
          <w:rFonts w:ascii="Calibri" w:hAnsi="Calibri" w:cstheme="minorHAnsi"/>
        </w:rPr>
        <w:t>Émil</w:t>
      </w:r>
      <w:proofErr w:type="spellEnd"/>
      <w:r w:rsidRPr="00586E5F">
        <w:rPr>
          <w:rFonts w:ascii="Calibri" w:hAnsi="Calibri" w:cstheme="minorHAnsi"/>
        </w:rPr>
        <w:t xml:space="preserve"> </w:t>
      </w:r>
      <w:proofErr w:type="spellStart"/>
      <w:r w:rsidRPr="00586E5F">
        <w:rPr>
          <w:rFonts w:ascii="Calibri" w:hAnsi="Calibri" w:cstheme="minorHAnsi"/>
        </w:rPr>
        <w:t>Fourny</w:t>
      </w:r>
      <w:proofErr w:type="spellEnd"/>
      <w:r w:rsidRPr="00586E5F">
        <w:rPr>
          <w:rFonts w:ascii="Calibri" w:hAnsi="Calibri" w:cstheme="minorHAnsi"/>
        </w:rPr>
        <w:t xml:space="preserve"> e la mia direzione è la prima, ossia quella che andò in scena a Montecarlo nel 1917 e il cui terzo atto Puccini difende con gran vigore in un’altra lettera a </w:t>
      </w:r>
      <w:proofErr w:type="spellStart"/>
      <w:r w:rsidRPr="00586E5F">
        <w:rPr>
          <w:rFonts w:ascii="Calibri" w:hAnsi="Calibri" w:cstheme="minorHAnsi"/>
        </w:rPr>
        <w:t>Schnabl</w:t>
      </w:r>
      <w:proofErr w:type="spellEnd"/>
      <w:r w:rsidRPr="00586E5F">
        <w:rPr>
          <w:rFonts w:ascii="Calibri" w:hAnsi="Calibri" w:cstheme="minorHAnsi"/>
        </w:rPr>
        <w:t xml:space="preserve"> del 1917: “Io difendo questo atto che è il migliore, ricordatelo bene”. L’edizione di Montecarlo al Maestro era piaciuta perché era stata rappresentata in un ambiente assai raccolto, su un palco piccolo, con scenografie contenute; per lui, insomma, era perfetta così, anche a livello acustico. Non è certo un’opera maestosa da affiancare, soprattutto per il trattamento della parte orchestrale, a </w:t>
      </w:r>
      <w:r w:rsidRPr="00586E5F">
        <w:rPr>
          <w:rFonts w:ascii="Calibri" w:hAnsi="Calibri" w:cstheme="minorHAnsi"/>
          <w:i/>
          <w:iCs/>
        </w:rPr>
        <w:t xml:space="preserve">Tosca </w:t>
      </w:r>
      <w:r w:rsidRPr="00586E5F">
        <w:rPr>
          <w:rFonts w:ascii="Calibri" w:hAnsi="Calibri" w:cstheme="minorHAnsi"/>
        </w:rPr>
        <w:t xml:space="preserve">o a </w:t>
      </w:r>
      <w:r w:rsidRPr="00586E5F">
        <w:rPr>
          <w:rFonts w:ascii="Calibri" w:hAnsi="Calibri" w:cstheme="minorHAnsi"/>
          <w:i/>
          <w:iCs/>
        </w:rPr>
        <w:t>Fanciulla del West</w:t>
      </w:r>
      <w:r w:rsidRPr="00586E5F">
        <w:rPr>
          <w:rFonts w:ascii="Calibri" w:hAnsi="Calibri" w:cstheme="minorHAnsi"/>
        </w:rPr>
        <w:t xml:space="preserve">. </w:t>
      </w:r>
    </w:p>
    <w:p w14:paraId="6087874B" w14:textId="4CBEFCB9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Nonostante la soddisfazione per la prima, l’anno successivo ad essa, Puccini già scriveva: “Andò tutto bene, ma trovo (un po’ in ritardo) che Levi aveva una certa ragione - il terz’atto è un pondo - vorrei rifarlo e a </w:t>
      </w:r>
      <w:proofErr w:type="spellStart"/>
      <w:r w:rsidRPr="00586E5F">
        <w:rPr>
          <w:rFonts w:ascii="Calibri" w:hAnsi="Calibri" w:cstheme="minorHAnsi"/>
        </w:rPr>
        <w:t>Montauban</w:t>
      </w:r>
      <w:proofErr w:type="spellEnd"/>
      <w:r w:rsidRPr="00586E5F">
        <w:rPr>
          <w:rFonts w:ascii="Calibri" w:hAnsi="Calibri" w:cstheme="minorHAnsi"/>
        </w:rPr>
        <w:t xml:space="preserve"> in casa paterna”. </w:t>
      </w:r>
    </w:p>
    <w:p w14:paraId="6DD25F96" w14:textId="5F541BE5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>È questo un ripensamento che testimonia il talento di cesellatore di dettagli di Puccini, capace di creare capolavori la cui cifra fondamentale è la semplicità immediata, certo studiata e ricercata, sia nella composizione di un tema che nella struttura di un intero atto, rivelando così quella caratteristica di perfezionismo forse meno nota ma preponderante, soprattutto nel Puccini maturo.</w:t>
      </w:r>
    </w:p>
    <w:p w14:paraId="3AA9E232" w14:textId="32C7E9E1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Se nella seconda versione (rappresentata solo a Palermo e Vienna nel 1920) </w:t>
      </w:r>
      <w:proofErr w:type="spellStart"/>
      <w:r w:rsidRPr="00586E5F">
        <w:rPr>
          <w:rFonts w:ascii="Calibri" w:hAnsi="Calibri" w:cstheme="minorHAnsi"/>
        </w:rPr>
        <w:t>Prunier</w:t>
      </w:r>
      <w:proofErr w:type="spellEnd"/>
      <w:r w:rsidRPr="00586E5F">
        <w:rPr>
          <w:rFonts w:ascii="Calibri" w:hAnsi="Calibri" w:cstheme="minorHAnsi"/>
        </w:rPr>
        <w:t xml:space="preserve"> passa alla tessitura di baritono e c’è qualche cambiamento nel finale, nella terza (probabilmente mai rappresentata vivente l’autore) il finale è addirittura capovolto: anziché essere Magda a lasciare Ruggero, è lui che l’abbandona dopo averne scoperto il passato. </w:t>
      </w:r>
    </w:p>
    <w:p w14:paraId="225776CD" w14:textId="51648444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Tutte queste sono comunque soluzioni che Puccini non ha mai accettato del tutto. </w:t>
      </w:r>
    </w:p>
    <w:p w14:paraId="107559C3" w14:textId="4A2EBF0E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In due lettere del ’22 e del ’23, incontrando importanti ostacoli per l’esecuzione di </w:t>
      </w:r>
      <w:r w:rsidRPr="00586E5F">
        <w:rPr>
          <w:rFonts w:ascii="Calibri" w:hAnsi="Calibri" w:cstheme="minorHAnsi"/>
          <w:i/>
          <w:iCs/>
        </w:rPr>
        <w:t xml:space="preserve">Rondine </w:t>
      </w:r>
      <w:r w:rsidRPr="00586E5F">
        <w:rPr>
          <w:rFonts w:ascii="Calibri" w:hAnsi="Calibri" w:cstheme="minorHAnsi"/>
        </w:rPr>
        <w:t xml:space="preserve">nei vari teatri, Puccini scrive: “ormai quest’opera è condannata” e “povera opera mia cara”. </w:t>
      </w:r>
    </w:p>
    <w:p w14:paraId="010145AA" w14:textId="0DBC5B1B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Non riuscire a vederla rappresentata al pari delle altre sue opere e non poter godere appieno di una sua definitiva e convincente versione, fu sempre per lui una grande delusione. </w:t>
      </w:r>
    </w:p>
    <w:p w14:paraId="28DA4A99" w14:textId="2528D47A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Guardandola sotto il profilo musicale, in </w:t>
      </w:r>
      <w:r w:rsidRPr="00586E5F">
        <w:rPr>
          <w:rFonts w:ascii="Calibri" w:hAnsi="Calibri" w:cstheme="minorHAnsi"/>
          <w:i/>
          <w:iCs/>
        </w:rPr>
        <w:t xml:space="preserve">Rondine </w:t>
      </w:r>
      <w:r w:rsidRPr="00586E5F">
        <w:rPr>
          <w:rFonts w:ascii="Calibri" w:hAnsi="Calibri" w:cstheme="minorHAnsi"/>
        </w:rPr>
        <w:t xml:space="preserve">riconosciamo innanzitutto alcune precedenti arie da camera; prendere “in prestito” musica propria non è una novità per Puccini, ma neppure una sua prassi costante. Sin dalle prime opere è solito riutilizzare piccole pagine scritte in gioventù, alcune delle quali veramente molto ispirate: </w:t>
      </w:r>
      <w:r w:rsidRPr="00586E5F">
        <w:rPr>
          <w:rFonts w:ascii="Calibri" w:hAnsi="Calibri" w:cstheme="minorHAnsi"/>
          <w:i/>
          <w:iCs/>
        </w:rPr>
        <w:t>Sole e amore</w:t>
      </w:r>
      <w:r w:rsidRPr="00586E5F">
        <w:rPr>
          <w:rFonts w:ascii="Calibri" w:hAnsi="Calibri" w:cstheme="minorHAnsi"/>
        </w:rPr>
        <w:t xml:space="preserve">, una romanza per voce e pianoforte del 1888, diventerà, per esempio, il finale del terzo atto della </w:t>
      </w:r>
      <w:r w:rsidRPr="00586E5F">
        <w:rPr>
          <w:rFonts w:ascii="Calibri" w:hAnsi="Calibri" w:cstheme="minorHAnsi"/>
          <w:i/>
          <w:iCs/>
        </w:rPr>
        <w:t>Bohème</w:t>
      </w:r>
      <w:r w:rsidRPr="00586E5F">
        <w:rPr>
          <w:rFonts w:ascii="Calibri" w:hAnsi="Calibri" w:cstheme="minorHAnsi"/>
        </w:rPr>
        <w:t xml:space="preserve">. </w:t>
      </w:r>
    </w:p>
    <w:p w14:paraId="596CA021" w14:textId="19E11523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In </w:t>
      </w:r>
      <w:r w:rsidRPr="00586E5F">
        <w:rPr>
          <w:rFonts w:ascii="Calibri" w:hAnsi="Calibri" w:cstheme="minorHAnsi"/>
          <w:i/>
          <w:iCs/>
        </w:rPr>
        <w:t>Rondine</w:t>
      </w:r>
      <w:r w:rsidRPr="00586E5F">
        <w:rPr>
          <w:rFonts w:ascii="Calibri" w:hAnsi="Calibri" w:cstheme="minorHAnsi"/>
        </w:rPr>
        <w:t xml:space="preserve">, nel primo atto della seconda versione, Puccini aggiunge l’aria </w:t>
      </w:r>
      <w:r w:rsidRPr="00586E5F">
        <w:rPr>
          <w:rFonts w:ascii="Calibri" w:hAnsi="Calibri" w:cstheme="minorHAnsi"/>
          <w:i/>
          <w:iCs/>
        </w:rPr>
        <w:t xml:space="preserve">Parigi è la città dei desideri </w:t>
      </w:r>
      <w:r w:rsidRPr="00586E5F">
        <w:rPr>
          <w:rFonts w:ascii="Calibri" w:hAnsi="Calibri" w:cstheme="minorHAnsi"/>
        </w:rPr>
        <w:t xml:space="preserve">di Ruggero, riprendendola da </w:t>
      </w:r>
      <w:r w:rsidRPr="00586E5F">
        <w:rPr>
          <w:rFonts w:ascii="Calibri" w:hAnsi="Calibri" w:cstheme="minorHAnsi"/>
          <w:i/>
          <w:iCs/>
        </w:rPr>
        <w:t>Morire</w:t>
      </w:r>
      <w:r w:rsidRPr="00586E5F">
        <w:rPr>
          <w:rFonts w:ascii="Calibri" w:hAnsi="Calibri" w:cstheme="minorHAnsi"/>
        </w:rPr>
        <w:t>, una lirica per canto e pianoforte che compose nel 1917. Se in essa il tema conduttore è il mistero della morte, nella rielaborazione per Rondine si inneggia invece al fascino e alla magia della vita parigina. Dopo aver visto in scena questa versione, però, Puccini abolirà l’aria del tenore, che risulta forse come una forzatura drammaturgica nello svolgersi dell’atto.</w:t>
      </w:r>
    </w:p>
    <w:p w14:paraId="27486534" w14:textId="03B3F93F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  <w:i/>
          <w:iCs/>
        </w:rPr>
        <w:t>Sogno d’or</w:t>
      </w:r>
      <w:r w:rsidRPr="00586E5F">
        <w:rPr>
          <w:rFonts w:ascii="Calibri" w:hAnsi="Calibri" w:cstheme="minorHAnsi"/>
        </w:rPr>
        <w:t xml:space="preserve">, lirica per canto e pianoforte del 1912, diventerà invece il celebre motivo del </w:t>
      </w:r>
      <w:proofErr w:type="gramStart"/>
      <w:r w:rsidRPr="00586E5F">
        <w:rPr>
          <w:rFonts w:ascii="Calibri" w:hAnsi="Calibri" w:cstheme="minorHAnsi"/>
        </w:rPr>
        <w:t>quartetto</w:t>
      </w:r>
      <w:proofErr w:type="gramEnd"/>
      <w:r w:rsidRPr="00586E5F">
        <w:rPr>
          <w:rFonts w:ascii="Calibri" w:hAnsi="Calibri" w:cstheme="minorHAnsi"/>
        </w:rPr>
        <w:t xml:space="preserve"> </w:t>
      </w:r>
      <w:r w:rsidRPr="00586E5F">
        <w:rPr>
          <w:rFonts w:ascii="Calibri" w:hAnsi="Calibri" w:cstheme="minorHAnsi"/>
          <w:i/>
          <w:iCs/>
        </w:rPr>
        <w:t xml:space="preserve">Bevo al tuo fresco sorriso </w:t>
      </w:r>
      <w:r w:rsidRPr="00586E5F">
        <w:rPr>
          <w:rFonts w:ascii="Calibri" w:hAnsi="Calibri" w:cstheme="minorHAnsi"/>
        </w:rPr>
        <w:t xml:space="preserve">e successivamente del finale secondo atto. </w:t>
      </w:r>
    </w:p>
    <w:p w14:paraId="33ED1FD9" w14:textId="6BD86C1C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Tra gli spunti più originali rispetto alle altre sue opere, Puccini fa in </w:t>
      </w:r>
      <w:r w:rsidRPr="00586E5F">
        <w:rPr>
          <w:rFonts w:ascii="Calibri" w:hAnsi="Calibri" w:cstheme="minorHAnsi"/>
          <w:i/>
          <w:iCs/>
        </w:rPr>
        <w:t xml:space="preserve">Rondine </w:t>
      </w:r>
      <w:r w:rsidRPr="00586E5F">
        <w:rPr>
          <w:rFonts w:ascii="Calibri" w:hAnsi="Calibri" w:cstheme="minorHAnsi"/>
        </w:rPr>
        <w:t xml:space="preserve">alcune coraggiose scelte drammaturgiche. In generale, nelle sue opere, egli colloca, a metà del primo atto, l’entrata strategica della protagonista: questo avviene per Mimì, </w:t>
      </w:r>
      <w:proofErr w:type="spellStart"/>
      <w:r w:rsidRPr="00586E5F">
        <w:rPr>
          <w:rFonts w:ascii="Calibri" w:hAnsi="Calibri" w:cstheme="minorHAnsi"/>
        </w:rPr>
        <w:t>Cio</w:t>
      </w:r>
      <w:proofErr w:type="spellEnd"/>
      <w:r w:rsidRPr="00586E5F">
        <w:rPr>
          <w:rFonts w:ascii="Calibri" w:hAnsi="Calibri" w:cstheme="minorHAnsi"/>
        </w:rPr>
        <w:t>-</w:t>
      </w:r>
      <w:proofErr w:type="spellStart"/>
      <w:r w:rsidRPr="00586E5F">
        <w:rPr>
          <w:rFonts w:ascii="Calibri" w:hAnsi="Calibri" w:cstheme="minorHAnsi"/>
        </w:rPr>
        <w:t>Cio</w:t>
      </w:r>
      <w:proofErr w:type="spellEnd"/>
      <w:r w:rsidRPr="00586E5F">
        <w:rPr>
          <w:rFonts w:ascii="Calibri" w:hAnsi="Calibri" w:cstheme="minorHAnsi"/>
        </w:rPr>
        <w:t xml:space="preserve">-San o per Minnie. </w:t>
      </w:r>
    </w:p>
    <w:p w14:paraId="2AEBA44C" w14:textId="29633719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Lo schema è: creare l’ambientazione, introdurre gli elementi fondamentali della storia e, solo dopo che il pubblico ha conosciuto i personaggi minori, far entrare i protagonisti. </w:t>
      </w:r>
    </w:p>
    <w:p w14:paraId="2D0AB0A2" w14:textId="71B40B78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lastRenderedPageBreak/>
        <w:t xml:space="preserve">Nella </w:t>
      </w:r>
      <w:r w:rsidRPr="00586E5F">
        <w:rPr>
          <w:rFonts w:ascii="Calibri" w:hAnsi="Calibri" w:cstheme="minorHAnsi"/>
          <w:i/>
          <w:iCs/>
        </w:rPr>
        <w:t>Rondine</w:t>
      </w:r>
      <w:r w:rsidRPr="00586E5F">
        <w:rPr>
          <w:rFonts w:ascii="Calibri" w:hAnsi="Calibri" w:cstheme="minorHAnsi"/>
        </w:rPr>
        <w:t xml:space="preserve">, invece, sono novità la presenza in scena dall’inizio di Magda, la protagonista, e l’ingresso del tenore a metà del primo atto con tre sole semplici frasi: fino al secondo atto non capiremo che peso Ruggero abbia effettivamente nella storia. Dopo </w:t>
      </w:r>
      <w:r w:rsidRPr="00586E5F">
        <w:rPr>
          <w:rFonts w:ascii="Calibri" w:hAnsi="Calibri" w:cstheme="minorHAnsi"/>
          <w:i/>
          <w:iCs/>
        </w:rPr>
        <w:t>Rondine</w:t>
      </w:r>
      <w:r w:rsidRPr="00586E5F">
        <w:rPr>
          <w:rFonts w:ascii="Calibri" w:hAnsi="Calibri" w:cstheme="minorHAnsi"/>
        </w:rPr>
        <w:t xml:space="preserve">, ritroviamo questa particolarità in </w:t>
      </w:r>
      <w:r w:rsidRPr="00586E5F">
        <w:rPr>
          <w:rFonts w:ascii="Calibri" w:hAnsi="Calibri" w:cstheme="minorHAnsi"/>
          <w:i/>
          <w:iCs/>
        </w:rPr>
        <w:t>Turandot</w:t>
      </w:r>
      <w:r w:rsidRPr="00586E5F">
        <w:rPr>
          <w:rFonts w:ascii="Calibri" w:hAnsi="Calibri" w:cstheme="minorHAnsi"/>
        </w:rPr>
        <w:t xml:space="preserve">, dove la principessa appare nel primo atto senza cantare, per poi tornare, vigorosamente, nel secondo atto con la sua grande scena. </w:t>
      </w:r>
    </w:p>
    <w:p w14:paraId="0E26F319" w14:textId="170A4049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Leggendo la partitura manoscritta di </w:t>
      </w:r>
      <w:r w:rsidRPr="00586E5F">
        <w:rPr>
          <w:rFonts w:ascii="Calibri" w:hAnsi="Calibri" w:cstheme="minorHAnsi"/>
          <w:i/>
          <w:iCs/>
        </w:rPr>
        <w:t xml:space="preserve">Rondine </w:t>
      </w:r>
      <w:r w:rsidRPr="00586E5F">
        <w:rPr>
          <w:rFonts w:ascii="Calibri" w:hAnsi="Calibri" w:cstheme="minorHAnsi"/>
        </w:rPr>
        <w:t xml:space="preserve">a Torre del Lago, l’unica presente tra le innumerevoli carte dell’archivio della Fondazione Simonetta Puccini, nel cui Cda sono consigliere, si intuisce che Puccini si sia molto divertito nel comporla e che la struttura fosse ben chiara nella sua testa. Nel manoscritto leggiamo anche che termina l’orchestrazione del primo atto il 5 gennaio 1915; il mese dopo ha già pronto il secondo atto. </w:t>
      </w:r>
    </w:p>
    <w:p w14:paraId="0748BB0F" w14:textId="092D1BB1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Chi ascolta quest’opera vi noterà la presenza di molti ritmi presi da danze quali walzer e polke, al punto che lo stesso Puccini scrive in una lettera: “non inorridire per il walzer”. </w:t>
      </w:r>
    </w:p>
    <w:p w14:paraId="0C3CF20A" w14:textId="50E5CDBD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In quest’opera, in effetti, il movimento vorticoso o circolare della danza ben si sposa con la combinazione fluida di forme ora più dialogiche - tipiche del racconto - ora più distese, come nei ricchi ariosi riservati soprattutto a Magda e Ruggero. </w:t>
      </w:r>
    </w:p>
    <w:p w14:paraId="191E16F8" w14:textId="496EB5F4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  <w:i/>
          <w:iCs/>
        </w:rPr>
        <w:t xml:space="preserve">La Rondine </w:t>
      </w:r>
      <w:r w:rsidRPr="00586E5F">
        <w:rPr>
          <w:rFonts w:ascii="Calibri" w:hAnsi="Calibri" w:cstheme="minorHAnsi"/>
        </w:rPr>
        <w:t xml:space="preserve">segna, poi, l’inizio della collaborazione di Puccini con Giuseppe Adami, che sarà librettista anche del </w:t>
      </w:r>
      <w:r w:rsidRPr="00586E5F">
        <w:rPr>
          <w:rFonts w:ascii="Calibri" w:hAnsi="Calibri" w:cstheme="minorHAnsi"/>
          <w:i/>
          <w:iCs/>
        </w:rPr>
        <w:t xml:space="preserve">Tabarro </w:t>
      </w:r>
      <w:r w:rsidRPr="00586E5F">
        <w:rPr>
          <w:rFonts w:ascii="Calibri" w:hAnsi="Calibri" w:cstheme="minorHAnsi"/>
        </w:rPr>
        <w:t xml:space="preserve">e della </w:t>
      </w:r>
      <w:r w:rsidRPr="00586E5F">
        <w:rPr>
          <w:rFonts w:ascii="Calibri" w:hAnsi="Calibri" w:cstheme="minorHAnsi"/>
          <w:i/>
          <w:iCs/>
        </w:rPr>
        <w:t>Turandot</w:t>
      </w:r>
      <w:r w:rsidRPr="00586E5F">
        <w:rPr>
          <w:rFonts w:ascii="Calibri" w:hAnsi="Calibri" w:cstheme="minorHAnsi"/>
        </w:rPr>
        <w:t xml:space="preserve">. </w:t>
      </w:r>
    </w:p>
    <w:p w14:paraId="1A23FC86" w14:textId="19A0E618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Si sa che il compositore ebbe sempre con i librettisti rapporti assai difficili, non facendosi nessuna remora nel metter mano alle bozze o anche ai testi definitivi che questi gli sottoponevano. Poteva capitare che - per attriti lavorativi - non si parlassero per mesi e, alla fine, si faceva sempre come voleva Puccini. </w:t>
      </w:r>
    </w:p>
    <w:p w14:paraId="719B5A4C" w14:textId="6A9AD327" w:rsidR="003037DB" w:rsidRPr="00586E5F" w:rsidRDefault="003037DB" w:rsidP="00C04D71">
      <w:pPr>
        <w:pStyle w:val="Pa1"/>
        <w:jc w:val="both"/>
        <w:rPr>
          <w:rFonts w:ascii="Calibri" w:hAnsi="Calibri" w:cstheme="minorHAnsi"/>
        </w:rPr>
      </w:pPr>
      <w:r w:rsidRPr="00586E5F">
        <w:rPr>
          <w:rFonts w:ascii="Calibri" w:hAnsi="Calibri" w:cstheme="minorHAnsi"/>
        </w:rPr>
        <w:t xml:space="preserve">La collaborazione con Adami non fu tanto preziosa quanto quella con Illica e Giacosa, sebbene di lui egli avesse grande stima. Non mancarono tuttavia i contrasti ed esempio lampante di questo è </w:t>
      </w:r>
      <w:r w:rsidRPr="00586E5F">
        <w:rPr>
          <w:rFonts w:ascii="Calibri" w:hAnsi="Calibri" w:cstheme="minorHAnsi"/>
          <w:i/>
          <w:iCs/>
        </w:rPr>
        <w:t>Turandot</w:t>
      </w:r>
      <w:r w:rsidRPr="00586E5F">
        <w:rPr>
          <w:rFonts w:ascii="Calibri" w:hAnsi="Calibri" w:cstheme="minorHAnsi"/>
        </w:rPr>
        <w:t>, il cui libretto definitivo arrivò con grande ritardo a Puccini.</w:t>
      </w:r>
    </w:p>
    <w:p w14:paraId="5C325EE3" w14:textId="2443EE27" w:rsidR="00586E5F" w:rsidRPr="00586E5F" w:rsidRDefault="003037DB" w:rsidP="00586E5F">
      <w:pPr>
        <w:spacing w:after="0" w:line="240" w:lineRule="auto"/>
        <w:jc w:val="both"/>
        <w:rPr>
          <w:rStyle w:val="A4"/>
          <w:rFonts w:cstheme="minorHAnsi"/>
          <w:i/>
          <w:iCs/>
          <w:color w:val="auto"/>
          <w:sz w:val="24"/>
          <w:szCs w:val="24"/>
        </w:rPr>
      </w:pPr>
      <w:r w:rsidRPr="00586E5F">
        <w:rPr>
          <w:rFonts w:ascii="Calibri" w:hAnsi="Calibri" w:cstheme="minorHAnsi"/>
          <w:sz w:val="24"/>
          <w:szCs w:val="24"/>
        </w:rPr>
        <w:t xml:space="preserve">Per Victor De Sabata, grandissimo direttore d’orchestra, </w:t>
      </w:r>
      <w:r w:rsidRPr="00586E5F">
        <w:rPr>
          <w:rFonts w:ascii="Calibri" w:hAnsi="Calibri" w:cstheme="minorHAnsi"/>
          <w:i/>
          <w:iCs/>
          <w:sz w:val="24"/>
          <w:szCs w:val="24"/>
        </w:rPr>
        <w:t xml:space="preserve">Rondine </w:t>
      </w:r>
      <w:r w:rsidRPr="00586E5F">
        <w:rPr>
          <w:rFonts w:ascii="Calibri" w:hAnsi="Calibri" w:cstheme="minorHAnsi"/>
          <w:sz w:val="24"/>
          <w:szCs w:val="24"/>
        </w:rPr>
        <w:t>era il vero capolavoro di Puccini; questo dimostra l’apprezzamento di cui essa ha sempre goduto presso i grandi musicisti. Quando quest’opera viene presentata nei teatri, il pubblico, che forse ancora oggi la conosce poco, ne resta rapito.</w:t>
      </w:r>
      <w:r w:rsidR="00586E5F" w:rsidRPr="00586E5F">
        <w:rPr>
          <w:rStyle w:val="A4"/>
          <w:rFonts w:cstheme="minorHAnsi"/>
          <w:i/>
          <w:iCs/>
          <w:color w:val="auto"/>
          <w:sz w:val="24"/>
          <w:szCs w:val="24"/>
        </w:rPr>
        <w:t xml:space="preserve"> </w:t>
      </w:r>
    </w:p>
    <w:p w14:paraId="1E55C141" w14:textId="5D140517" w:rsidR="003C32AA" w:rsidRPr="00B77E98" w:rsidRDefault="003C32AA" w:rsidP="003C32AA">
      <w:pPr>
        <w:pStyle w:val="Default"/>
        <w:jc w:val="both"/>
        <w:rPr>
          <w:rStyle w:val="A4"/>
          <w:rFonts w:asciiTheme="minorHAnsi" w:hAnsiTheme="minorHAnsi" w:cstheme="minorHAnsi"/>
          <w:color w:val="auto"/>
          <w:sz w:val="20"/>
          <w:szCs w:val="20"/>
        </w:rPr>
      </w:pPr>
    </w:p>
    <w:sectPr w:rsidR="003C32AA" w:rsidRPr="00B77E98" w:rsidSect="00B12AAF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8D"/>
    <w:rsid w:val="0005068D"/>
    <w:rsid w:val="0007302F"/>
    <w:rsid w:val="000B78F1"/>
    <w:rsid w:val="00126E53"/>
    <w:rsid w:val="00146F66"/>
    <w:rsid w:val="00174FBE"/>
    <w:rsid w:val="002C1696"/>
    <w:rsid w:val="003037DB"/>
    <w:rsid w:val="00316EAA"/>
    <w:rsid w:val="003A0678"/>
    <w:rsid w:val="003C32AA"/>
    <w:rsid w:val="003E2CF5"/>
    <w:rsid w:val="004F1007"/>
    <w:rsid w:val="004F3053"/>
    <w:rsid w:val="00515824"/>
    <w:rsid w:val="00586E5F"/>
    <w:rsid w:val="006423E1"/>
    <w:rsid w:val="006E3071"/>
    <w:rsid w:val="00775E68"/>
    <w:rsid w:val="007B731D"/>
    <w:rsid w:val="007C37B5"/>
    <w:rsid w:val="007E3D83"/>
    <w:rsid w:val="008307D1"/>
    <w:rsid w:val="009F33F3"/>
    <w:rsid w:val="00A01DFB"/>
    <w:rsid w:val="00A41FC3"/>
    <w:rsid w:val="00B12AAF"/>
    <w:rsid w:val="00B31B36"/>
    <w:rsid w:val="00B77E98"/>
    <w:rsid w:val="00BB5E15"/>
    <w:rsid w:val="00C04D71"/>
    <w:rsid w:val="00C43EBC"/>
    <w:rsid w:val="00D4344F"/>
    <w:rsid w:val="00E11BED"/>
    <w:rsid w:val="00E264EF"/>
    <w:rsid w:val="00F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D4BD"/>
  <w15:chartTrackingRefBased/>
  <w15:docId w15:val="{812B0FF7-E54D-4B47-AAA2-6D0444D2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7DB"/>
    <w:pPr>
      <w:autoSpaceDE w:val="0"/>
      <w:autoSpaceDN w:val="0"/>
      <w:adjustRightInd w:val="0"/>
      <w:spacing w:after="0" w:line="240" w:lineRule="auto"/>
    </w:pPr>
    <w:rPr>
      <w:rFonts w:ascii="Bodoni 72 Oldstyle" w:hAnsi="Bodoni 72 Oldstyle" w:cs="Bodoni 72 Oldstyle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037DB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3037DB"/>
    <w:rPr>
      <w:rFonts w:cs="Bodoni 72 Oldstyle"/>
      <w:b/>
      <w:bCs/>
      <w:color w:val="211D1E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3037D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04D71"/>
    <w:rPr>
      <w:rFonts w:cs="Bodoni 72 Oldstyle"/>
      <w:b/>
      <w:bCs/>
      <w:color w:val="211D1E"/>
      <w:sz w:val="20"/>
      <w:szCs w:val="20"/>
    </w:rPr>
  </w:style>
  <w:style w:type="character" w:customStyle="1" w:styleId="A4">
    <w:name w:val="A4"/>
    <w:uiPriority w:val="99"/>
    <w:rsid w:val="00C04D71"/>
    <w:rPr>
      <w:rFonts w:cs="Bodoni 72 Oldstyle"/>
      <w:color w:val="211D1E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E26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9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7D33-FA7F-4C62-B9D2-FF990491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Marini</dc:creator>
  <cp:keywords/>
  <dc:description/>
  <cp:lastModifiedBy>Simona Marini</cp:lastModifiedBy>
  <cp:revision>3</cp:revision>
  <dcterms:created xsi:type="dcterms:W3CDTF">2023-12-12T16:09:00Z</dcterms:created>
  <dcterms:modified xsi:type="dcterms:W3CDTF">2023-12-12T16:10:00Z</dcterms:modified>
</cp:coreProperties>
</file>